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40" w:rsidRDefault="00BF6812">
      <w:pPr>
        <w:pStyle w:val="a6"/>
        <w:rPr>
          <w:rFonts w:hint="default"/>
        </w:rPr>
      </w:pPr>
      <w:r>
        <w:t>最高人民法院</w:t>
      </w:r>
      <w:r>
        <w:t xml:space="preserve">    </w:t>
      </w:r>
      <w:r>
        <w:t>最高人民检察院</w:t>
      </w:r>
    </w:p>
    <w:p w:rsidR="00EB6740" w:rsidRDefault="00BF6812">
      <w:pPr>
        <w:pStyle w:val="a6"/>
        <w:rPr>
          <w:rFonts w:hint="default"/>
        </w:rPr>
      </w:pPr>
      <w:r>
        <w:t>关于不再追诉去台人员在中华人民共和国</w:t>
      </w:r>
    </w:p>
    <w:p w:rsidR="00EB6740" w:rsidRDefault="00BF6812">
      <w:pPr>
        <w:pStyle w:val="a6"/>
        <w:rPr>
          <w:rFonts w:hint="default"/>
        </w:rPr>
      </w:pPr>
      <w:r>
        <w:t>成立后当地人民政权建立前的犯罪行为的公告</w:t>
      </w:r>
    </w:p>
    <w:p w:rsidR="00EB6740" w:rsidRDefault="00EB6740">
      <w:pPr>
        <w:pStyle w:val="ab"/>
        <w:rPr>
          <w:rFonts w:ascii="宋体" w:eastAsia="宋体" w:hAnsi="宋体" w:cs="宋体"/>
        </w:rPr>
      </w:pPr>
    </w:p>
    <w:p w:rsidR="00EB6740" w:rsidRPr="00781DC3" w:rsidRDefault="00BF6812">
      <w:pPr>
        <w:pStyle w:val="ab"/>
        <w:ind w:firstLine="560"/>
        <w:rPr>
          <w:sz w:val="28"/>
          <w:szCs w:val="28"/>
        </w:rPr>
      </w:pPr>
      <w:r w:rsidRPr="00781DC3">
        <w:rPr>
          <w:rFonts w:hint="eastAsia"/>
          <w:sz w:val="28"/>
          <w:szCs w:val="28"/>
        </w:rPr>
        <w:t>1989</w:t>
      </w:r>
      <w:r w:rsidRPr="00781DC3">
        <w:rPr>
          <w:sz w:val="28"/>
          <w:szCs w:val="28"/>
        </w:rPr>
        <w:t>年</w:t>
      </w:r>
      <w:r w:rsidRPr="00781DC3">
        <w:rPr>
          <w:sz w:val="28"/>
          <w:szCs w:val="28"/>
        </w:rPr>
        <w:t>9</w:t>
      </w:r>
      <w:r w:rsidRPr="00781DC3">
        <w:rPr>
          <w:sz w:val="28"/>
          <w:szCs w:val="28"/>
        </w:rPr>
        <w:t>月</w:t>
      </w:r>
      <w:r w:rsidRPr="00781DC3">
        <w:rPr>
          <w:sz w:val="28"/>
          <w:szCs w:val="28"/>
        </w:rPr>
        <w:t>7</w:t>
      </w:r>
      <w:r w:rsidRPr="00781DC3">
        <w:rPr>
          <w:sz w:val="28"/>
          <w:szCs w:val="28"/>
        </w:rPr>
        <w:t>日</w:t>
      </w:r>
      <w:r w:rsidRPr="00781DC3">
        <w:rPr>
          <w:rFonts w:hint="eastAsia"/>
          <w:sz w:val="28"/>
          <w:szCs w:val="28"/>
        </w:rPr>
        <w:t xml:space="preserve">      </w:t>
      </w:r>
      <w:r w:rsidRPr="00781DC3">
        <w:rPr>
          <w:sz w:val="28"/>
          <w:szCs w:val="28"/>
        </w:rPr>
        <w:t>〔</w:t>
      </w:r>
      <w:r w:rsidRPr="00781DC3">
        <w:rPr>
          <w:sz w:val="28"/>
          <w:szCs w:val="28"/>
        </w:rPr>
        <w:t>89</w:t>
      </w:r>
      <w:r w:rsidRPr="00781DC3">
        <w:rPr>
          <w:sz w:val="28"/>
          <w:szCs w:val="28"/>
        </w:rPr>
        <w:t>〕高检会</w:t>
      </w:r>
      <w:r w:rsidRPr="00781DC3">
        <w:rPr>
          <w:rFonts w:hint="eastAsia"/>
          <w:sz w:val="28"/>
          <w:szCs w:val="28"/>
        </w:rPr>
        <w:t>（</w:t>
      </w:r>
      <w:proofErr w:type="gramStart"/>
      <w:r w:rsidRPr="00781DC3">
        <w:rPr>
          <w:sz w:val="28"/>
          <w:szCs w:val="28"/>
        </w:rPr>
        <w:t>研</w:t>
      </w:r>
      <w:proofErr w:type="gramEnd"/>
      <w:r w:rsidRPr="00781DC3">
        <w:rPr>
          <w:rFonts w:hint="eastAsia"/>
          <w:sz w:val="28"/>
          <w:szCs w:val="28"/>
        </w:rPr>
        <w:t>）</w:t>
      </w:r>
      <w:r w:rsidRPr="00781DC3">
        <w:rPr>
          <w:sz w:val="28"/>
          <w:szCs w:val="28"/>
        </w:rPr>
        <w:t>字第</w:t>
      </w:r>
      <w:r w:rsidRPr="00781DC3">
        <w:rPr>
          <w:sz w:val="28"/>
          <w:szCs w:val="28"/>
        </w:rPr>
        <w:t>12</w:t>
      </w:r>
      <w:r w:rsidRPr="00781DC3">
        <w:rPr>
          <w:sz w:val="28"/>
          <w:szCs w:val="28"/>
        </w:rPr>
        <w:t>号</w:t>
      </w:r>
      <w:bookmarkStart w:id="0" w:name="_GoBack"/>
      <w:bookmarkEnd w:id="0"/>
    </w:p>
    <w:p w:rsidR="00EB6740" w:rsidRPr="00781DC3" w:rsidRDefault="00EB6740">
      <w:pPr>
        <w:pStyle w:val="ab"/>
        <w:ind w:firstLine="560"/>
        <w:rPr>
          <w:rFonts w:ascii="宋体" w:eastAsia="宋体" w:hAnsi="宋体" w:cs="宋体"/>
          <w:sz w:val="28"/>
          <w:szCs w:val="28"/>
        </w:rPr>
      </w:pPr>
    </w:p>
    <w:p w:rsidR="00EB6740" w:rsidRPr="00781DC3" w:rsidRDefault="00BF6812">
      <w:pPr>
        <w:pStyle w:val="ab"/>
        <w:ind w:firstLine="560"/>
        <w:rPr>
          <w:rStyle w:val="af7"/>
          <w:sz w:val="28"/>
          <w:szCs w:val="28"/>
        </w:rPr>
      </w:pPr>
      <w:r w:rsidRPr="00781DC3">
        <w:rPr>
          <w:sz w:val="28"/>
          <w:szCs w:val="28"/>
        </w:rPr>
        <w:t>最高人民法院、最高人民检察</w:t>
      </w:r>
      <w:r w:rsidRPr="00781DC3">
        <w:rPr>
          <w:rFonts w:hint="eastAsia"/>
          <w:sz w:val="28"/>
          <w:szCs w:val="28"/>
        </w:rPr>
        <w:t>院</w:t>
      </w:r>
      <w:r w:rsidRPr="00781DC3">
        <w:rPr>
          <w:sz w:val="28"/>
          <w:szCs w:val="28"/>
        </w:rPr>
        <w:t>1988</w:t>
      </w:r>
      <w:r w:rsidRPr="00781DC3">
        <w:rPr>
          <w:sz w:val="28"/>
          <w:szCs w:val="28"/>
        </w:rPr>
        <w:t>年</w:t>
      </w:r>
      <w:r w:rsidRPr="00781DC3">
        <w:rPr>
          <w:sz w:val="28"/>
          <w:szCs w:val="28"/>
        </w:rPr>
        <w:t>3</w:t>
      </w:r>
      <w:r w:rsidRPr="00781DC3">
        <w:rPr>
          <w:sz w:val="28"/>
          <w:szCs w:val="28"/>
        </w:rPr>
        <w:t>月</w:t>
      </w:r>
      <w:r w:rsidRPr="00781DC3">
        <w:rPr>
          <w:sz w:val="28"/>
          <w:szCs w:val="28"/>
        </w:rPr>
        <w:t>14</w:t>
      </w:r>
      <w:r w:rsidRPr="00781DC3">
        <w:rPr>
          <w:sz w:val="28"/>
          <w:szCs w:val="28"/>
        </w:rPr>
        <w:t>日《关于不再追诉去台人员在中华人民共和国成立前的犯罪行为的公告》发布以后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引起各方面的积极反响。为了进一步发展祖国大陆与台湾地区的经济、文化交流和人员往来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促进祖国和平统一大业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现根据《中华人民共和国刑法》的规定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再次公告如下：</w:t>
      </w:r>
    </w:p>
    <w:p w:rsidR="00EB6740" w:rsidRPr="00781DC3" w:rsidRDefault="00BF6812">
      <w:pPr>
        <w:pStyle w:val="ab"/>
        <w:ind w:firstLine="560"/>
        <w:rPr>
          <w:rStyle w:val="af7"/>
          <w:sz w:val="28"/>
          <w:szCs w:val="28"/>
        </w:rPr>
      </w:pPr>
      <w:r w:rsidRPr="00781DC3">
        <w:rPr>
          <w:rStyle w:val="af7"/>
          <w:sz w:val="28"/>
          <w:szCs w:val="28"/>
        </w:rPr>
        <w:t>一、</w:t>
      </w:r>
      <w:r w:rsidRPr="00781DC3">
        <w:rPr>
          <w:sz w:val="28"/>
          <w:szCs w:val="28"/>
        </w:rPr>
        <w:t>对去台人员在中华人民共和国成立后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犯罪地地方人民政权建立前所犯罪行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不再追诉。</w:t>
      </w:r>
    </w:p>
    <w:p w:rsidR="00EB6740" w:rsidRPr="00781DC3" w:rsidRDefault="00BF6812">
      <w:pPr>
        <w:pStyle w:val="ab"/>
        <w:ind w:firstLine="560"/>
        <w:rPr>
          <w:rStyle w:val="af7"/>
          <w:sz w:val="28"/>
          <w:szCs w:val="28"/>
        </w:rPr>
      </w:pPr>
      <w:r w:rsidRPr="00781DC3">
        <w:rPr>
          <w:rStyle w:val="af7"/>
          <w:sz w:val="28"/>
          <w:szCs w:val="28"/>
        </w:rPr>
        <w:t>二、</w:t>
      </w:r>
      <w:r w:rsidRPr="00781DC3">
        <w:rPr>
          <w:sz w:val="28"/>
          <w:szCs w:val="28"/>
        </w:rPr>
        <w:t>去台人员在中华人民共和国成立后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犯罪地地方人民政权建立前犯有罪行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并连续或继续到当地人民政权建立后的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追诉期限从犯罪行为</w:t>
      </w:r>
      <w:r w:rsidRPr="00781DC3">
        <w:rPr>
          <w:rFonts w:hint="eastAsia"/>
          <w:sz w:val="28"/>
          <w:szCs w:val="28"/>
        </w:rPr>
        <w:t>终了之日起计算。凡符合《中华人民共和国刑法》第七十六条规定的，不再追诉。其中法定最高刑为无期徒刑、死刑的，经过二十年，也不再追诉。如果认为必须追诉的，由最高人民检察院核准。</w:t>
      </w:r>
    </w:p>
    <w:p w:rsidR="00EB6740" w:rsidRPr="00781DC3" w:rsidRDefault="00BF6812">
      <w:pPr>
        <w:pStyle w:val="ab"/>
        <w:ind w:firstLine="560"/>
        <w:rPr>
          <w:sz w:val="28"/>
          <w:szCs w:val="28"/>
        </w:rPr>
      </w:pPr>
      <w:r w:rsidRPr="00781DC3">
        <w:rPr>
          <w:rStyle w:val="af7"/>
          <w:sz w:val="28"/>
          <w:szCs w:val="28"/>
        </w:rPr>
        <w:t>三、</w:t>
      </w:r>
      <w:r w:rsidRPr="00781DC3">
        <w:rPr>
          <w:sz w:val="28"/>
          <w:szCs w:val="28"/>
        </w:rPr>
        <w:t>对于去台湾以外其他地区和国家的人员在中华人民共和国成立前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或者在中华人民共和国成立后、犯罪地地方人民政权建立前所犯的罪行</w:t>
      </w:r>
      <w:r w:rsidRPr="00781DC3">
        <w:rPr>
          <w:rFonts w:hint="eastAsia"/>
          <w:sz w:val="28"/>
          <w:szCs w:val="28"/>
        </w:rPr>
        <w:t>，</w:t>
      </w:r>
      <w:r w:rsidRPr="00781DC3">
        <w:rPr>
          <w:sz w:val="28"/>
          <w:szCs w:val="28"/>
        </w:rPr>
        <w:t>分别按照</w:t>
      </w:r>
      <w:r w:rsidRPr="00781DC3">
        <w:rPr>
          <w:sz w:val="28"/>
          <w:szCs w:val="28"/>
        </w:rPr>
        <w:t>最高人民法院、最高人民检察院《关于不再追诉去台人员在中华人民共和国成立前的犯罪行为的公告》精神和本公告第一条、第二条的规定办理。</w:t>
      </w:r>
    </w:p>
    <w:sectPr w:rsidR="00EB6740" w:rsidRPr="00781DC3" w:rsidSect="00781DC3">
      <w:footerReference w:type="even" r:id="rId7"/>
      <w:footerReference w:type="default" r:id="rId8"/>
      <w:pgSz w:w="11906" w:h="16838"/>
      <w:pgMar w:top="1701" w:right="1474" w:bottom="1701" w:left="1588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12" w:rsidRDefault="00BF6812">
      <w:r>
        <w:separator/>
      </w:r>
    </w:p>
  </w:endnote>
  <w:endnote w:type="continuationSeparator" w:id="0">
    <w:p w:rsidR="00BF6812" w:rsidRDefault="00BF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740" w:rsidRDefault="00BF681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6740" w:rsidRDefault="00BF6812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B6740" w:rsidRDefault="00BF6812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740" w:rsidRDefault="00BF681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4838700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6740" w:rsidRDefault="00BF6812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381pt;margin-top:-7.5pt;width:2in;height:2in;z-index: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" filled="f" stroked="f" strokeweight=".5pt">
              <v:textbox style="mso-fit-shape-to-text:t" inset="0,0,0,0">
                <w:txbxContent>
                  <w:p w:rsidR="00EB6740" w:rsidRDefault="00BF6812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12" w:rsidRDefault="00BF6812">
      <w:r>
        <w:separator/>
      </w:r>
    </w:p>
  </w:footnote>
  <w:footnote w:type="continuationSeparator" w:id="0">
    <w:p w:rsidR="00BF6812" w:rsidRDefault="00BF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D86964"/>
    <w:rsid w:val="00323D76"/>
    <w:rsid w:val="00781DC3"/>
    <w:rsid w:val="00BF6812"/>
    <w:rsid w:val="00EB6740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DDF6DCD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9D86964"/>
    <w:rsid w:val="6D800228"/>
    <w:rsid w:val="6DAD6BF0"/>
    <w:rsid w:val="6E1B4105"/>
    <w:rsid w:val="6EB66F23"/>
    <w:rsid w:val="75FA67F7"/>
    <w:rsid w:val="762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9C33"/>
  <w15:docId w15:val="{41BAE402-7366-449E-B4FE-4B6B063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2017-11-01T09:53:00Z</dcterms:created>
  <dcterms:modified xsi:type="dcterms:W3CDTF">2025-12-09T00:49:00Z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